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000"/>
        <w:gridCol w:w="2300"/>
        <w:gridCol w:w="420"/>
        <w:gridCol w:w="4880"/>
        <w:gridCol w:w="220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PROGRAMMA: EVENTO RESIDENZIALE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Titolo evento: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sz w:val="24.0"/>
              </w:rPr>
              <w:t xml:space="preserve">"Uno, Nessuno, Centomila Giovani"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Descrizione Evento: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8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sz w:val="24.0"/>
              </w:rPr>
              <w:t xml:space="preserve">«Io sono uno per me, e centomila per tutti gli altri»: la celebre frase di Luigi Pirandello sembra descrivere perfettamente la condizione di molti giovani oggi.  Anticipa alcune delle questioni più attuali dell¿esperienza giovanile contemporanea: la molteplicità delle identità, lo scarto tra come ci si percepisce e come si viene rappresentati, la difficoltà di riconoscersi in un¿immagine univoca.</w:t>
              <w:br/>
              <w:t xml:space="preserve">Tra diversi contesti di provenienza ¿ culturali, economici e familiari ¿ insieme a scuola, istituzioni, reti di supporto e aspettative sociali, l¿identità dei giovani si frammenta: ciò che si è, ciò che uno sente di essere e ciò che gli altri vedono non sempre coincidono. Si muovono in spazi sociali e comunicativi che moltiplicano le aspettative, sollecitano performance e attribuiscono ruoli prima ancora che soggettività. Spesso sono valutati, categorizzati e osservati senza essere realmente ascoltati.</w:t>
              <w:br/>
              <w:t xml:space="preserve">Partendo dalla pubblicazione "Uno, Nessuno, Centomila giovani" edita AnciLab a dicembre 2025, l¿evento si propone di presentare i risultati della ricerca sulla transizione scuola¿lavoro basata sull¿ascolto diretto di ragazze e ragazzi impegnati in questo passaggio cruciale. Ciò che ne emerge è un quadro di precarietà e discontinuità, ma anche di opportunità, idee, risorse e tentativi di ridefinirsi. In questo scenario, la scuola, i servizi e le politiche sono chiamati a ripensare strumenti e linguaggi capaci di sostenere i giovani durante questa fase complessa di transizione. </w:t>
              <w:br/>
              <w:t xml:space="preserve">L¿evento diventa così un momento di confronto multidisciplinare per rimettere al centro le traiettorie giovanili, raccogliere voci, storie e idee per costruire insieme nuove prospettive di senso e di benessere.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ID evento: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218904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Nr. edizione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Codice edizione: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Crediti: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Sede edizione: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MILANO (MILANO)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Data inizio:	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18/03/2026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Data fine: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18/03/2026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Ore Totali: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Budget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3000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Tipologia: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FORMAZIONE RESIDENZIALE CLASSICA (fino a 100 partecipanti)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000"/>
        <w:gridCol w:w="3640"/>
        <w:gridCol w:w="100"/>
        <w:gridCol w:w="2340"/>
        <w:gridCol w:w="920"/>
        <w:gridCol w:w="280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Obiettivi formativi: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OBIETTIVI FORMATIVI TECNICO-PROFESSIONALI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Metodologia didattica: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[Lezione - Discussione]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Area di riferimento: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Fragilita' e cronicita' (minori, anziani, dipendenze da stupefacenti, alcool e ludopatia, salute mentale), nuove poverta', tutela degli aspetti assistenziali, sociosanitari e socio-assistenziali.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Tematica speciale: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Obiettivi specifici: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DESTINATARI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</w:pPr>
            <w:r>
              <w:rPr>
                <w:sz w:val="24.0"/>
                <w:b w:val="true"/>
              </w:rPr>
              <w:t xml:space="preserve">PROFESSIONI DESTINATARIE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</w:pPr>
            <w:r>
              <w:rPr>
                <w:sz w:val="24.0"/>
              </w:rPr>
              <w:t xml:space="preserve">TUTTE LE PROFESSIONI SANITARIE - TUTTE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</w:pPr>
            <w:r>
              <w:rPr>
                <w:sz w:val="24.0"/>
                <w:b w:val="true"/>
              </w:rPr>
              <w:t xml:space="preserve">NUMERO MASSIMO PARTECIPANTI PREVISTI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Segreteria organizzativa: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Tel.: 0272629640     Fax: 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E-mail: formazione@ancilab.it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Materiale didattico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7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Modalità di iscrizione all'evento: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</w:rPr>
              <w:t xml:space="preserve">ON LINE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Assenza conflitto di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Valutazione gradimento: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Prevista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0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Valutazione apprendimento: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Test a scelta multipla #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Presenza sponsor: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000"/>
        <w:gridCol w:w="1500"/>
        <w:gridCol w:w="760"/>
        <w:gridCol w:w="180"/>
        <w:gridCol w:w="520"/>
        <w:gridCol w:w="20"/>
        <w:gridCol w:w="1940"/>
        <w:gridCol w:w="1920"/>
        <w:gridCol w:w="520"/>
        <w:gridCol w:w="200"/>
        <w:gridCol w:w="224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PERSONALE FORMATIVO EDIZIONE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NOMINATIVO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RUOLO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QUALIFICA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PROSERPIO MAURO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RESPONSABILE SCIENTIFICO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DIRIGENTE BIOLOGO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ATS BERGAMO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MANTOAN GIORGIO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BRAMATI  LUCA 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MERLINO LUCIA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MARRUJO MENDOZA FABIOLA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ARCARI ANNA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NICOLA BASILE 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GRECO ANGELA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BASILE  NICOLA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LE RESIDENZE DEL SOLE ¿ CONSORZIO DI COOPERATIVE SOCIALE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BRAMATI  LUCA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RELATORE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ANCILAB SRL SB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ARCARI ANNA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MINOTAURO, ISTITUTO DI ANALISI DEI CODICI AFFETTIVI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MERLINO  LUCIA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ANCILAB S.R.L SB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MANTOAN GIORGIO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ATS MILANO - ASST MELEGNANO E MARTESANA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GRECO ANGELA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ASST OVEST MILANESE ¿ CONSULTORIO FAMILIARE DI MAGENTA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MENDOZA MARRUJO FABIOLA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RELATORE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EURODESK ITALY SERVIZI S.R.L.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PROGRAMMA INCONTRI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2.0"/>
              </w:rPr>
              <w:t xml:space="preserve">Titolo </w:t>
            </w:r>
          </w:p>
        </w:tc>
        <w:tc>
          <w:tcPr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22.0"/>
              </w:rPr>
              <w:t xml:space="preserve">"Uno, Nessuno, Centomila Giovani"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sz w:val="24.0"/>
              </w:rPr>
              <w:t xml:space="preserve">Data: 18/03/2026, durata: 03:00 ore, sede: Via Rovello, 2, aula: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000"/>
        <w:gridCol w:w="4400"/>
        <w:gridCol w:w="540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4200"/>
              <w:gridCol w:w="4100"/>
            </w:tblGrid>
            <w:tr>
              <w:trPr>
                <w:trHeight w:hRule="atLeas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 w:left="100"/>
                  </w:pPr>
                  <w:r>
                    <w:rPr>
                      <w:sz w:val="24.0"/>
                      <w:b w:val="true"/>
                    </w:rPr>
                    <w:t xml:space="preserve">ORARIO</w:t>
                  </w:r>
                </w:p>
              </w:tc>
              <w:tc>
                <w:tcPr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100"/>
                  </w:pPr>
                  <w:r>
                    <w:rPr>
                      <w:sz w:val="24.0"/>
                      <w:b w:val="true"/>
                    </w:rPr>
                    <w:t xml:space="preserve">ARGOMENTO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100"/>
                  </w:pPr>
                  <w:r>
                    <w:rPr>
                      <w:sz w:val="24.0"/>
                      <w:b w:val="true"/>
                    </w:rPr>
                    <w:t xml:space="preserve">DOCENTI/RELATORI</w:t>
                  </w:r>
                </w:p>
              </w:tc>
            </w:tr>
            <w:tr>
              <w:trPr>
                <w:trHeight w:hRule="atLeas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</w:pPr>
                  <w:r>
                    <w:rPr>
                      <w:sz w:val="24.0"/>
                    </w:rPr>
                    <w:t xml:space="preserve">Dalle/All</w:t>
                  </w:r>
                </w:p>
              </w:tc>
              <w:tc>
                <w:tcPr>
                  <w:vMerge w:val="continue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20"/>
              <w:gridCol w:w="4180"/>
              <w:gridCol w:w="20"/>
              <w:gridCol w:w="4080"/>
              <w:gridCol w:w="20"/>
            </w:tblGrid>
            <w:tr>
              <w:trPr>
                <w:trHeight w:hRule="atLeast" w:val="1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14:30 - 17:30</w:t>
                  </w:r>
                </w:p>
              </w:tc>
              <w:tc>
                <w:tcPr>
                  <w:vMerge w:val="restart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L'evento formativo offre un percorso di approfondimento sul benessere giovanile, a partire dalla presentazione del framework metodologico e dei principali dati di ricerca. L'analisi toccherà le dimensioni centrali che influenzano la vita dei giovani: il background migratorio, i percorsi formativi, il contesto familiare e le condizioni economiche. La parte conclusiva sarà dedicata alle prospettive di policy per la promozione del benessere giovanile e al ruolo del benessere emotivo come strumento di prevenzione delle patologie.</w:t>
                  </w:r>
                </w:p>
              </w:tc>
              <w:tc>
                <w:tcPr>
                  <w:vMerge w:val="restart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Arcari Anna</w:t>
                    <w:br/>
                    <w:t xml:space="preserve">  Docente - Minotauro, Istituto di analisi dei Codici affettivi</w:t>
                  </w:r>
                </w:p>
              </w:tc>
            </w:tr>
            <w:tr>
              <w:trPr>
                <w:trHeight w:hRule="atLeast" w:val="9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Mantoan Giorgio</w:t>
                    <w:br/>
                    <w:t xml:space="preserve">  Docente - ATS Milano - ASST Melegnano e Martesana</w:t>
                  </w:r>
                </w:p>
              </w:tc>
            </w:tr>
            <w:tr>
              <w:trPr>
                <w:trHeight w:hRule="atLeast" w:val="1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Greco Angela</w:t>
                    <w:br/>
                    <w:t xml:space="preserve">  Docente - ASST Ovest Milanese ¿ Consultorio Familiare di Magenta</w:t>
                  </w:r>
                </w:p>
              </w:tc>
            </w:tr>
            <w:tr>
              <w:trPr>
                <w:trHeight w:hRule="atLeast" w:val="9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Merlino  Lucia</w:t>
                    <w:br/>
                    <w:t xml:space="preserve">  Docente - AnciLab s.r.l SB</w:t>
                  </w:r>
                </w:p>
              </w:tc>
            </w:tr>
            <w:tr>
              <w:trPr>
                <w:trHeight w:hRule="atLeast" w:val="1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Basile  Nicola</w:t>
                    <w:br/>
                    <w:t xml:space="preserve">  Docente - Le Residenze del Sole ¿ Consorzio di Cooperative Sociale</w:t>
                  </w:r>
                </w:p>
              </w:tc>
            </w:tr>
            <w:tr>
              <w:trPr>
                <w:trHeight w:hRule="atLeast" w:val="9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Mendoza Marrujo Fabiola</w:t>
                    <w:br/>
                    <w:t xml:space="preserve">  Relatore - EURODESK ITALY SERVIZI S.R.L.</w:t>
                  </w:r>
                </w:p>
              </w:tc>
            </w:tr>
            <w:tr>
              <w:trPr>
                <w:trHeight w:hRule="atLeast" w:val="8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Bramati  Luca</w:t>
                    <w:br/>
                    <w:t xml:space="preserve">  Relatore - AnciLab srl SB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b w:val="true"/>
              </w:rPr>
              <w:t xml:space="preserve">PARTECIPAZIONE E CREDITI ECM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i w:val="true"/>
              </w:rPr>
              <w:t xml:space="preserve">L’attestato crediti sarà rilasciato solo ed esclusivamente ai partecipanti che avranno soddisfatto i seguenti requisiti:</w:t>
              <w:br/>
              <w:t xml:space="preserve">• partecipazione minima di frequenza del 100% per eventi di durata fino a 6 ore e del 80% per eventi di durata</w:t>
              <w:br/>
              <w:t xml:space="preserve">   superiore a 6 ore fatta eccezione per l’Attività di ricerca e FAD asincrona;</w:t>
              <w:br/>
              <w:t xml:space="preserve">• superamento del questionario di apprendimento ove previsto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